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7B8AFA89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946FCE" w:rsidRPr="00946FCE">
        <w:rPr>
          <w:rFonts w:cstheme="minorHAnsi"/>
          <w:sz w:val="28"/>
          <w:szCs w:val="28"/>
        </w:rPr>
        <w:t>Up to 30% Off Samsung Tech – Shop Now!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72C402B2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946FCE" w:rsidRPr="00946FCE">
        <w:rPr>
          <w:sz w:val="28"/>
          <w:szCs w:val="28"/>
        </w:rPr>
        <w:t>New year. New gear!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E2D6F"/>
    <w:rsid w:val="00611A26"/>
    <w:rsid w:val="00656652"/>
    <w:rsid w:val="00896CEB"/>
    <w:rsid w:val="00946FCE"/>
    <w:rsid w:val="009B0334"/>
    <w:rsid w:val="00BD0498"/>
    <w:rsid w:val="00EA2E11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244</Words>
  <Characters>1217</Characters>
  <Application>Microsoft Office Word</Application>
  <DocSecurity>0</DocSecurity>
  <Lines>32</Lines>
  <Paragraphs>18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2026-01-18T21:10:00Z</dcterms:modified>
</cp:coreProperties>
</file>